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EF7F0" w14:textId="39084C0F" w:rsidR="001C4979" w:rsidRDefault="00000000">
      <w:pPr>
        <w:spacing w:after="40"/>
        <w:rPr>
          <w:lang w:eastAsia="ja-JP"/>
        </w:rPr>
      </w:pPr>
      <w:r>
        <w:rPr>
          <w:b/>
          <w:sz w:val="29"/>
          <w:lang w:eastAsia="ja-JP"/>
        </w:rPr>
        <w:t>【題目】根圏細菌資材の施用によるトマトの耐乾燥性向上と収量安定化の検証</w:t>
      </w:r>
    </w:p>
    <w:tbl>
      <w:tblPr>
        <w:tblW w:w="10133" w:type="dxa"/>
        <w:jc w:val="center"/>
        <w:tblLayout w:type="fixed"/>
        <w:tblLook w:val="04A0" w:firstRow="1" w:lastRow="0" w:firstColumn="1" w:lastColumn="0" w:noHBand="0" w:noVBand="1"/>
      </w:tblPr>
      <w:tblGrid>
        <w:gridCol w:w="5144"/>
        <w:gridCol w:w="4989"/>
      </w:tblGrid>
      <w:tr w:rsidR="001C4979" w14:paraId="043C9585" w14:textId="77777777" w:rsidTr="00A535B2">
        <w:trPr>
          <w:jc w:val="center"/>
        </w:trPr>
        <w:tc>
          <w:tcPr>
            <w:tcW w:w="5144" w:type="dxa"/>
            <w:tcMar>
              <w:top w:w="70" w:type="dxa"/>
              <w:left w:w="85" w:type="dxa"/>
              <w:bottom w:w="70" w:type="dxa"/>
              <w:right w:w="85" w:type="dxa"/>
            </w:tcMar>
          </w:tcPr>
          <w:p w14:paraId="08F1A2A1" w14:textId="77777777" w:rsidR="001C4979" w:rsidRDefault="00000000">
            <w:pPr>
              <w:spacing w:after="40"/>
              <w:rPr>
                <w:lang w:eastAsia="ja-JP"/>
              </w:rPr>
            </w:pPr>
            <w:r>
              <w:rPr>
                <w:b/>
                <w:sz w:val="24"/>
                <w:lang w:eastAsia="ja-JP"/>
              </w:rPr>
              <w:t>【研究の背景・課題】</w:t>
            </w:r>
          </w:p>
          <w:p w14:paraId="3B5AE3A6" w14:textId="77777777" w:rsidR="00A535B2" w:rsidRDefault="00000000">
            <w:pPr>
              <w:spacing w:after="0" w:line="288" w:lineRule="auto"/>
              <w:ind w:firstLine="198"/>
              <w:rPr>
                <w:sz w:val="21"/>
                <w:lang w:eastAsia="ja-JP"/>
              </w:rPr>
            </w:pPr>
            <w:r>
              <w:rPr>
                <w:sz w:val="21"/>
                <w:lang w:eastAsia="ja-JP"/>
              </w:rPr>
              <w:t>気候変動に伴う高温・少雨条件の頻発により、施設園芸や露地栽培においても乾燥ストレスへの対策が重要になっている。灌水量を増やす方法は即効性がある一方で、水資源の制約やコストの面から持続的とは言い難い。そこで近年は、植物の生育促進や耐ストレス性向上に寄与する根圏微生物を活用した生物資材が注目されている。しかし、資材によって効果の再現性が異なり、どの指標で評価すると有効性を示しやすいかが課題である。</w:t>
            </w:r>
          </w:p>
          <w:p w14:paraId="38F8B010" w14:textId="610E352D" w:rsidR="001C4979" w:rsidRPr="00A535B2" w:rsidRDefault="00A535B2">
            <w:pPr>
              <w:spacing w:after="0" w:line="288" w:lineRule="auto"/>
              <w:ind w:firstLine="198"/>
              <w:rPr>
                <w:b/>
                <w:bCs/>
                <w:lang w:eastAsia="ja-JP"/>
              </w:rPr>
            </w:pPr>
            <w:r w:rsidRPr="00A535B2">
              <w:rPr>
                <w:rFonts w:hint="eastAsia"/>
                <w:b/>
                <w:bCs/>
                <w:color w:val="EE0000"/>
                <w:sz w:val="18"/>
                <w:szCs w:val="20"/>
                <w:lang w:eastAsia="ja-JP"/>
              </w:rPr>
              <w:t>※</w:t>
            </w:r>
            <w:r w:rsidRPr="00A535B2">
              <w:rPr>
                <w:b/>
                <w:bCs/>
                <w:color w:val="EE0000"/>
                <w:sz w:val="18"/>
                <w:szCs w:val="20"/>
                <w:lang w:eastAsia="ja-JP"/>
              </w:rPr>
              <w:t>農業現場での課題と生物学的アプローチの意義を最初に書き、研究の位置づけを明確にする必要がある。</w:t>
            </w:r>
          </w:p>
        </w:tc>
        <w:tc>
          <w:tcPr>
            <w:tcW w:w="4989" w:type="dxa"/>
            <w:tcMar>
              <w:top w:w="70" w:type="dxa"/>
              <w:left w:w="85" w:type="dxa"/>
              <w:bottom w:w="70" w:type="dxa"/>
              <w:right w:w="85" w:type="dxa"/>
            </w:tcMar>
          </w:tcPr>
          <w:p w14:paraId="37872AC8" w14:textId="52FA9FBA" w:rsidR="001C4979" w:rsidRDefault="001C4979">
            <w:pPr>
              <w:jc w:val="center"/>
              <w:rPr>
                <w:lang w:eastAsia="ja-JP"/>
              </w:rPr>
            </w:pPr>
          </w:p>
          <w:p w14:paraId="750CB9B0" w14:textId="2763EDF7" w:rsidR="001C4979" w:rsidRDefault="00D42387">
            <w:pPr>
              <w:rPr>
                <w:lang w:eastAsia="ja-JP"/>
              </w:rPr>
            </w:pPr>
            <w:r>
              <w:rPr>
                <w:noProof/>
              </w:rPr>
              <w:drawing>
                <wp:anchor distT="0" distB="0" distL="114300" distR="114300" simplePos="0" relativeHeight="251662336" behindDoc="0" locked="0" layoutInCell="1" allowOverlap="1" wp14:anchorId="636BBF06" wp14:editId="02883772">
                  <wp:simplePos x="0" y="0"/>
                  <wp:positionH relativeFrom="column">
                    <wp:posOffset>635</wp:posOffset>
                  </wp:positionH>
                  <wp:positionV relativeFrom="paragraph">
                    <wp:posOffset>348574</wp:posOffset>
                  </wp:positionV>
                  <wp:extent cx="3059430" cy="1723390"/>
                  <wp:effectExtent l="0" t="0" r="7620" b="0"/>
                  <wp:wrapNone/>
                  <wp:docPr id="1224313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9430" cy="1723390"/>
                          </a:xfrm>
                          <a:prstGeom prst="rect">
                            <a:avLst/>
                          </a:prstGeom>
                          <a:noFill/>
                          <a:ln>
                            <a:noFill/>
                          </a:ln>
                        </pic:spPr>
                      </pic:pic>
                    </a:graphicData>
                  </a:graphic>
                </wp:anchor>
              </w:drawing>
            </w:r>
          </w:p>
        </w:tc>
      </w:tr>
      <w:tr w:rsidR="001C4979" w14:paraId="331785A2" w14:textId="77777777" w:rsidTr="00A535B2">
        <w:trPr>
          <w:jc w:val="center"/>
        </w:trPr>
        <w:tc>
          <w:tcPr>
            <w:tcW w:w="5144" w:type="dxa"/>
            <w:tcBorders>
              <w:bottom w:val="dashSmallGap" w:sz="4" w:space="0" w:color="A6A6A6" w:themeColor="background1" w:themeShade="A6"/>
            </w:tcBorders>
            <w:tcMar>
              <w:top w:w="70" w:type="dxa"/>
              <w:left w:w="85" w:type="dxa"/>
              <w:bottom w:w="70" w:type="dxa"/>
              <w:right w:w="85" w:type="dxa"/>
            </w:tcMar>
          </w:tcPr>
          <w:p w14:paraId="2340B71B" w14:textId="77777777" w:rsidR="001C4979" w:rsidRDefault="00000000">
            <w:pPr>
              <w:spacing w:after="40"/>
              <w:rPr>
                <w:lang w:eastAsia="ja-JP"/>
              </w:rPr>
            </w:pPr>
            <w:r>
              <w:rPr>
                <w:b/>
                <w:sz w:val="24"/>
                <w:lang w:eastAsia="ja-JP"/>
              </w:rPr>
              <w:t>【研究目的・方法】</w:t>
            </w:r>
          </w:p>
          <w:p w14:paraId="55E517A4" w14:textId="77777777" w:rsidR="00A535B2" w:rsidRDefault="00000000">
            <w:pPr>
              <w:spacing w:after="0" w:line="288" w:lineRule="auto"/>
              <w:ind w:firstLine="198"/>
              <w:rPr>
                <w:sz w:val="21"/>
                <w:lang w:eastAsia="ja-JP"/>
              </w:rPr>
            </w:pPr>
            <w:r>
              <w:rPr>
                <w:sz w:val="21"/>
                <w:lang w:eastAsia="ja-JP"/>
              </w:rPr>
              <w:t>本研究の目的は、根圏細菌資材の施用がトマトの耐乾燥性および収量安定化に及ぼす影響を明らかにすることである。播種時に菌資材を接種した処理区と無接種の対照区を設け、育苗後に温室およびポット試験で乾燥ストレスを付与した。草丈、根長、葉面積、気孔コンダクタンス、葉内含水率を測定し、最終的に収量と糖度、水利用効率を比較した。</w:t>
            </w:r>
          </w:p>
          <w:p w14:paraId="04BD4B99" w14:textId="3EC3C876" w:rsidR="001C4979" w:rsidRPr="00A535B2" w:rsidRDefault="00A535B2" w:rsidP="00A535B2">
            <w:pPr>
              <w:spacing w:after="0" w:line="288" w:lineRule="auto"/>
              <w:ind w:firstLine="198"/>
              <w:rPr>
                <w:b/>
                <w:bCs/>
                <w:lang w:eastAsia="ja-JP"/>
              </w:rPr>
            </w:pPr>
            <w:r w:rsidRPr="00A535B2">
              <w:rPr>
                <w:rFonts w:hint="eastAsia"/>
                <w:b/>
                <w:bCs/>
                <w:color w:val="EE0000"/>
                <w:sz w:val="18"/>
                <w:szCs w:val="20"/>
                <w:lang w:eastAsia="ja-JP"/>
              </w:rPr>
              <w:t>※</w:t>
            </w:r>
            <w:r w:rsidRPr="00A535B2">
              <w:rPr>
                <w:b/>
                <w:bCs/>
                <w:color w:val="EE0000"/>
                <w:sz w:val="18"/>
                <w:szCs w:val="20"/>
                <w:lang w:eastAsia="ja-JP"/>
              </w:rPr>
              <w:t>試験の流れを図示し、いつ何を測ったかを一目で分かるようにすると、評価設計の妥当性が伝わりやすい。</w:t>
            </w:r>
          </w:p>
        </w:tc>
        <w:tc>
          <w:tcPr>
            <w:tcW w:w="4989" w:type="dxa"/>
            <w:tcBorders>
              <w:bottom w:val="dashSmallGap" w:sz="4" w:space="0" w:color="A6A6A6" w:themeColor="background1" w:themeShade="A6"/>
            </w:tcBorders>
            <w:tcMar>
              <w:top w:w="70" w:type="dxa"/>
              <w:left w:w="85" w:type="dxa"/>
              <w:bottom w:w="70" w:type="dxa"/>
              <w:right w:w="85" w:type="dxa"/>
            </w:tcMar>
          </w:tcPr>
          <w:p w14:paraId="6D09D651" w14:textId="77777777" w:rsidR="001C4979" w:rsidRDefault="00000000">
            <w:pPr>
              <w:jc w:val="center"/>
              <w:rPr>
                <w:lang w:eastAsia="ja-JP"/>
              </w:rPr>
            </w:pPr>
            <w:r>
              <w:rPr>
                <w:noProof/>
              </w:rPr>
              <w:drawing>
                <wp:anchor distT="0" distB="0" distL="114300" distR="114300" simplePos="0" relativeHeight="251659264" behindDoc="0" locked="0" layoutInCell="1" allowOverlap="1" wp14:anchorId="33505484" wp14:editId="1B3395D4">
                  <wp:simplePos x="0" y="0"/>
                  <wp:positionH relativeFrom="column">
                    <wp:posOffset>-8718</wp:posOffset>
                  </wp:positionH>
                  <wp:positionV relativeFrom="paragraph">
                    <wp:posOffset>333925</wp:posOffset>
                  </wp:positionV>
                  <wp:extent cx="3092947" cy="22357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fig2.png"/>
                          <pic:cNvPicPr/>
                        </pic:nvPicPr>
                        <pic:blipFill>
                          <a:blip r:embed="rId9"/>
                          <a:stretch>
                            <a:fillRect/>
                          </a:stretch>
                        </pic:blipFill>
                        <pic:spPr>
                          <a:xfrm>
                            <a:off x="0" y="0"/>
                            <a:ext cx="3103450" cy="2243379"/>
                          </a:xfrm>
                          <a:prstGeom prst="rect">
                            <a:avLst/>
                          </a:prstGeom>
                        </pic:spPr>
                      </pic:pic>
                    </a:graphicData>
                  </a:graphic>
                  <wp14:sizeRelH relativeFrom="margin">
                    <wp14:pctWidth>0</wp14:pctWidth>
                  </wp14:sizeRelH>
                  <wp14:sizeRelV relativeFrom="margin">
                    <wp14:pctHeight>0</wp14:pctHeight>
                  </wp14:sizeRelV>
                </wp:anchor>
              </w:drawing>
            </w:r>
          </w:p>
          <w:p w14:paraId="654F6D0D" w14:textId="77777777" w:rsidR="001C4979" w:rsidRDefault="001C4979">
            <w:pPr>
              <w:rPr>
                <w:lang w:eastAsia="ja-JP"/>
              </w:rPr>
            </w:pPr>
          </w:p>
        </w:tc>
      </w:tr>
      <w:tr w:rsidR="00A535B2" w14:paraId="19680D62" w14:textId="77777777" w:rsidTr="00A535B2">
        <w:trPr>
          <w:jc w:val="center"/>
        </w:trPr>
        <w:tc>
          <w:tcPr>
            <w:tcW w:w="10133" w:type="dxa"/>
            <w:gridSpan w:val="2"/>
            <w:tcBorders>
              <w:top w:val="single" w:sz="10" w:space="0" w:color="C6D2BF"/>
              <w:left w:val="dashSmallGap" w:sz="4" w:space="0" w:color="A6A6A6" w:themeColor="background1" w:themeShade="A6"/>
              <w:bottom w:val="dashSmallGap" w:sz="4" w:space="0" w:color="A6A6A6" w:themeColor="background1" w:themeShade="A6"/>
              <w:right w:val="dashSmallGap" w:sz="4" w:space="0" w:color="A6A6A6" w:themeColor="background1" w:themeShade="A6"/>
            </w:tcBorders>
            <w:tcMar>
              <w:top w:w="70" w:type="dxa"/>
              <w:left w:w="85" w:type="dxa"/>
              <w:bottom w:w="70" w:type="dxa"/>
              <w:right w:w="85" w:type="dxa"/>
            </w:tcMar>
          </w:tcPr>
          <w:p w14:paraId="78AADA5A" w14:textId="77777777" w:rsidR="00A535B2" w:rsidRDefault="00A535B2">
            <w:pPr>
              <w:spacing w:after="40"/>
              <w:rPr>
                <w:lang w:eastAsia="ja-JP"/>
              </w:rPr>
            </w:pPr>
            <w:r>
              <w:rPr>
                <w:b/>
                <w:sz w:val="24"/>
                <w:lang w:eastAsia="ja-JP"/>
              </w:rPr>
              <w:t>【研究の結果・考察】</w:t>
            </w:r>
          </w:p>
          <w:p w14:paraId="5B424BAF" w14:textId="77777777" w:rsidR="00A535B2" w:rsidRDefault="00A535B2" w:rsidP="00D42387">
            <w:pPr>
              <w:spacing w:after="20"/>
              <w:ind w:left="57" w:firstLineChars="100" w:firstLine="200"/>
              <w:rPr>
                <w:lang w:eastAsia="ja-JP"/>
              </w:rPr>
            </w:pPr>
            <w:r>
              <w:rPr>
                <w:lang w:eastAsia="ja-JP"/>
              </w:rPr>
              <w:t>菌資材処理区では、乾燥ストレス開始後も草丈の伸長が維持され、根長と葉面積が対照区より高い値を示した。特に根系の発達は、吸水能力の維持やストレス条件下での生育継続に寄与したと考えられる。また、葉内含水率と気孔コンダクタンスの低下が緩やかであったことから、処理区では水分状態の悪化が抑えられた。</w:t>
            </w:r>
          </w:p>
          <w:p w14:paraId="7622356A" w14:textId="77EE2B9C" w:rsidR="00A535B2" w:rsidRPr="00A535B2" w:rsidRDefault="00A535B2" w:rsidP="00D42387">
            <w:pPr>
              <w:spacing w:after="20"/>
              <w:ind w:left="57" w:firstLineChars="100" w:firstLine="180"/>
              <w:rPr>
                <w:b/>
                <w:bCs/>
                <w:lang w:eastAsia="ja-JP"/>
              </w:rPr>
            </w:pPr>
            <w:r w:rsidRPr="00A535B2">
              <w:rPr>
                <w:rFonts w:hint="eastAsia"/>
                <w:b/>
                <w:bCs/>
                <w:color w:val="EE0000"/>
                <w:sz w:val="18"/>
                <w:szCs w:val="21"/>
                <w:lang w:eastAsia="ja-JP"/>
              </w:rPr>
              <w:t>※</w:t>
            </w:r>
            <w:r w:rsidRPr="00A535B2">
              <w:rPr>
                <w:b/>
                <w:bCs/>
                <w:color w:val="EE0000"/>
                <w:sz w:val="18"/>
                <w:szCs w:val="21"/>
                <w:lang w:eastAsia="ja-JP"/>
              </w:rPr>
              <w:t>個々の測定値を細かく並べるよりも、「生理指標→生育指標→最終収量」という流れで結果を整理すると、読み手にストーリーとして伝わりやすい。</w:t>
            </w:r>
          </w:p>
        </w:tc>
      </w:tr>
    </w:tbl>
    <w:p w14:paraId="47D63567" w14:textId="77777777" w:rsidR="001C4979" w:rsidRDefault="00000000">
      <w:pPr>
        <w:rPr>
          <w:lang w:eastAsia="ja-JP"/>
        </w:rPr>
      </w:pPr>
      <w:r>
        <w:rPr>
          <w:lang w:eastAsia="ja-JP"/>
        </w:rPr>
        <w:br w:type="page"/>
      </w:r>
    </w:p>
    <w:tbl>
      <w:tblPr>
        <w:tblW w:w="0" w:type="auto"/>
        <w:jc w:val="center"/>
        <w:tblLayout w:type="fixed"/>
        <w:tblLook w:val="04A0" w:firstRow="1" w:lastRow="0" w:firstColumn="1" w:lastColumn="0" w:noHBand="0" w:noVBand="1"/>
      </w:tblPr>
      <w:tblGrid>
        <w:gridCol w:w="4793"/>
        <w:gridCol w:w="5356"/>
      </w:tblGrid>
      <w:tr w:rsidR="001C4979" w14:paraId="7ABC5205" w14:textId="77777777" w:rsidTr="00A535B2">
        <w:trPr>
          <w:jc w:val="center"/>
        </w:trPr>
        <w:tc>
          <w:tcPr>
            <w:tcW w:w="4793" w:type="dxa"/>
            <w:tcMar>
              <w:top w:w="70" w:type="dxa"/>
              <w:left w:w="85" w:type="dxa"/>
              <w:bottom w:w="70" w:type="dxa"/>
              <w:right w:w="85" w:type="dxa"/>
            </w:tcMar>
          </w:tcPr>
          <w:p w14:paraId="7FCB9139" w14:textId="77777777" w:rsidR="001C4979" w:rsidRDefault="00000000">
            <w:pPr>
              <w:spacing w:after="40"/>
              <w:rPr>
                <w:lang w:eastAsia="ja-JP"/>
              </w:rPr>
            </w:pPr>
            <w:r>
              <w:rPr>
                <w:b/>
                <w:sz w:val="24"/>
                <w:lang w:eastAsia="ja-JP"/>
              </w:rPr>
              <w:lastRenderedPageBreak/>
              <w:t>【研究の結果・考察（続き）】</w:t>
            </w:r>
          </w:p>
          <w:p w14:paraId="237C0D36" w14:textId="77777777" w:rsidR="00A535B2" w:rsidRDefault="00000000" w:rsidP="00A535B2">
            <w:pPr>
              <w:spacing w:after="0" w:line="288" w:lineRule="auto"/>
              <w:ind w:firstLine="198"/>
              <w:rPr>
                <w:sz w:val="21"/>
                <w:lang w:eastAsia="ja-JP"/>
              </w:rPr>
            </w:pPr>
            <w:r>
              <w:rPr>
                <w:sz w:val="21"/>
                <w:lang w:eastAsia="ja-JP"/>
              </w:rPr>
              <w:t>収穫時には、処理区で1株当たり収量が増加し、水利用効率も改善した。糖度の差は小さかったが、収量を維持しながら品質を損なわなかった点は実用上重要である。さらに、生理・生育指標の改善が最終収量につながったことから、菌資材の効果は単なる初期生育促進にとどまらず、乾燥耐性の付与にも関与すると考えられる</w:t>
            </w:r>
            <w:r w:rsidR="00A535B2">
              <w:rPr>
                <w:rFonts w:hint="eastAsia"/>
                <w:sz w:val="21"/>
                <w:lang w:eastAsia="ja-JP"/>
              </w:rPr>
              <w:t>が、</w:t>
            </w:r>
            <w:r>
              <w:rPr>
                <w:sz w:val="21"/>
                <w:lang w:eastAsia="ja-JP"/>
              </w:rPr>
              <w:t>効果の大きさは環境条件や接種量に左右される可能性があ</w:t>
            </w:r>
            <w:r w:rsidR="00A535B2">
              <w:rPr>
                <w:rFonts w:hint="eastAsia"/>
                <w:sz w:val="21"/>
                <w:lang w:eastAsia="ja-JP"/>
              </w:rPr>
              <w:t>る。</w:t>
            </w:r>
          </w:p>
          <w:p w14:paraId="3F8F2B9F" w14:textId="07926F24" w:rsidR="001C4979" w:rsidRPr="00A535B2" w:rsidRDefault="00A535B2" w:rsidP="00A535B2">
            <w:pPr>
              <w:spacing w:after="0" w:line="288" w:lineRule="auto"/>
              <w:ind w:firstLine="198"/>
              <w:rPr>
                <w:b/>
                <w:bCs/>
                <w:sz w:val="21"/>
                <w:lang w:eastAsia="ja-JP"/>
              </w:rPr>
            </w:pPr>
            <w:r w:rsidRPr="00A535B2">
              <w:rPr>
                <w:rFonts w:hint="eastAsia"/>
                <w:b/>
                <w:bCs/>
                <w:color w:val="EE0000"/>
                <w:sz w:val="18"/>
                <w:szCs w:val="20"/>
                <w:lang w:eastAsia="ja-JP"/>
              </w:rPr>
              <w:t>※</w:t>
            </w:r>
            <w:r w:rsidRPr="00A535B2">
              <w:rPr>
                <w:b/>
                <w:bCs/>
                <w:color w:val="EE0000"/>
                <w:sz w:val="18"/>
                <w:szCs w:val="20"/>
                <w:lang w:eastAsia="ja-JP"/>
              </w:rPr>
              <w:t>有効性とともに適用上の留意点を併記することが望ましい。</w:t>
            </w:r>
          </w:p>
        </w:tc>
        <w:tc>
          <w:tcPr>
            <w:tcW w:w="5356" w:type="dxa"/>
            <w:tcMar>
              <w:top w:w="70" w:type="dxa"/>
              <w:left w:w="85" w:type="dxa"/>
              <w:bottom w:w="70" w:type="dxa"/>
              <w:right w:w="85" w:type="dxa"/>
            </w:tcMar>
          </w:tcPr>
          <w:p w14:paraId="72894C99" w14:textId="77777777" w:rsidR="001C4979" w:rsidRDefault="00000000">
            <w:pPr>
              <w:jc w:val="center"/>
              <w:rPr>
                <w:lang w:eastAsia="ja-JP"/>
              </w:rPr>
            </w:pPr>
            <w:r>
              <w:rPr>
                <w:noProof/>
              </w:rPr>
              <w:drawing>
                <wp:anchor distT="0" distB="0" distL="114300" distR="114300" simplePos="0" relativeHeight="251660288" behindDoc="0" locked="0" layoutInCell="1" allowOverlap="1" wp14:anchorId="12D0A51C" wp14:editId="0B228A13">
                  <wp:simplePos x="0" y="0"/>
                  <wp:positionH relativeFrom="column">
                    <wp:posOffset>197163</wp:posOffset>
                  </wp:positionH>
                  <wp:positionV relativeFrom="paragraph">
                    <wp:posOffset>114086</wp:posOffset>
                  </wp:positionV>
                  <wp:extent cx="2838615" cy="2984721"/>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fig3.png"/>
                          <pic:cNvPicPr/>
                        </pic:nvPicPr>
                        <pic:blipFill>
                          <a:blip r:embed="rId10"/>
                          <a:stretch>
                            <a:fillRect/>
                          </a:stretch>
                        </pic:blipFill>
                        <pic:spPr>
                          <a:xfrm>
                            <a:off x="0" y="0"/>
                            <a:ext cx="2838615" cy="2984721"/>
                          </a:xfrm>
                          <a:prstGeom prst="rect">
                            <a:avLst/>
                          </a:prstGeom>
                        </pic:spPr>
                      </pic:pic>
                    </a:graphicData>
                  </a:graphic>
                  <wp14:sizeRelH relativeFrom="margin">
                    <wp14:pctWidth>0</wp14:pctWidth>
                  </wp14:sizeRelH>
                  <wp14:sizeRelV relativeFrom="margin">
                    <wp14:pctHeight>0</wp14:pctHeight>
                  </wp14:sizeRelV>
                </wp:anchor>
              </w:drawing>
            </w:r>
          </w:p>
          <w:p w14:paraId="6BFD97FA" w14:textId="77777777" w:rsidR="001C4979" w:rsidRDefault="001C4979">
            <w:pPr>
              <w:rPr>
                <w:lang w:eastAsia="ja-JP"/>
              </w:rPr>
            </w:pPr>
          </w:p>
        </w:tc>
      </w:tr>
      <w:tr w:rsidR="001C4979" w14:paraId="30F48454" w14:textId="77777777" w:rsidTr="00A535B2">
        <w:trPr>
          <w:jc w:val="center"/>
        </w:trPr>
        <w:tc>
          <w:tcPr>
            <w:tcW w:w="4793" w:type="dxa"/>
            <w:tcMar>
              <w:top w:w="70" w:type="dxa"/>
              <w:left w:w="85" w:type="dxa"/>
              <w:bottom w:w="70" w:type="dxa"/>
              <w:right w:w="85" w:type="dxa"/>
            </w:tcMar>
          </w:tcPr>
          <w:p w14:paraId="25A381EE" w14:textId="77777777" w:rsidR="001C4979" w:rsidRDefault="00000000">
            <w:pPr>
              <w:spacing w:after="40"/>
              <w:rPr>
                <w:lang w:eastAsia="ja-JP"/>
              </w:rPr>
            </w:pPr>
            <w:r>
              <w:rPr>
                <w:b/>
                <w:sz w:val="24"/>
                <w:lang w:eastAsia="ja-JP"/>
              </w:rPr>
              <w:t>【結論と今後の進め方】</w:t>
            </w:r>
          </w:p>
          <w:p w14:paraId="186B0E2F" w14:textId="77777777" w:rsidR="00D42387" w:rsidRDefault="00000000">
            <w:pPr>
              <w:spacing w:after="0" w:line="288" w:lineRule="auto"/>
              <w:ind w:firstLine="198"/>
              <w:rPr>
                <w:sz w:val="21"/>
                <w:lang w:eastAsia="ja-JP"/>
              </w:rPr>
            </w:pPr>
            <w:r>
              <w:rPr>
                <w:sz w:val="21"/>
                <w:lang w:eastAsia="ja-JP"/>
              </w:rPr>
              <w:t>根圏細菌資材の施用は、トマトの根系発達を促し、乾燥条件下でも生理機能を維持することで、収量の安定化に寄与する可能性が示された。とくに、水利用効率の改善は、限られた灌水条件での栽培管理に有用である。今後は、複数品種・複数季節での再現性検証、接種量の最適化、土壌微生物相の解析を進め、作用機構をより明確にしたい。</w:t>
            </w:r>
          </w:p>
          <w:p w14:paraId="0CBC4189" w14:textId="5E0BD90B" w:rsidR="001C4979" w:rsidRDefault="00A535B2">
            <w:pPr>
              <w:spacing w:after="0" w:line="288" w:lineRule="auto"/>
              <w:ind w:firstLine="198"/>
              <w:rPr>
                <w:lang w:eastAsia="ja-JP"/>
              </w:rPr>
            </w:pPr>
            <w:r w:rsidRPr="00A535B2">
              <w:rPr>
                <w:rFonts w:hint="eastAsia"/>
                <w:b/>
                <w:bCs/>
                <w:color w:val="EE0000"/>
                <w:sz w:val="18"/>
                <w:szCs w:val="20"/>
                <w:lang w:eastAsia="ja-JP"/>
              </w:rPr>
              <w:t>※</w:t>
            </w:r>
            <w:r w:rsidR="00000000" w:rsidRPr="00A535B2">
              <w:rPr>
                <w:b/>
                <w:bCs/>
                <w:color w:val="EE0000"/>
                <w:sz w:val="18"/>
                <w:szCs w:val="20"/>
                <w:lang w:eastAsia="ja-JP"/>
              </w:rPr>
              <w:t>現場課題、実験設計、収量への結び付きという3層構造で整理すると、専門外の読者にも意義が伝わりやすい。</w:t>
            </w:r>
          </w:p>
        </w:tc>
        <w:tc>
          <w:tcPr>
            <w:tcW w:w="5356" w:type="dxa"/>
            <w:tcMar>
              <w:top w:w="70" w:type="dxa"/>
              <w:left w:w="85" w:type="dxa"/>
              <w:bottom w:w="70" w:type="dxa"/>
              <w:right w:w="85" w:type="dxa"/>
            </w:tcMar>
          </w:tcPr>
          <w:p w14:paraId="2D2ACF7B" w14:textId="3AFE7EE3" w:rsidR="001C4979" w:rsidRDefault="001C4979">
            <w:pPr>
              <w:jc w:val="center"/>
              <w:rPr>
                <w:lang w:eastAsia="ja-JP"/>
              </w:rPr>
            </w:pPr>
          </w:p>
          <w:p w14:paraId="07E9D747" w14:textId="50568CA0" w:rsidR="001C4979" w:rsidRDefault="00A535B2">
            <w:pPr>
              <w:rPr>
                <w:lang w:eastAsia="ja-JP"/>
              </w:rPr>
            </w:pPr>
            <w:r>
              <w:rPr>
                <w:noProof/>
              </w:rPr>
              <w:drawing>
                <wp:anchor distT="0" distB="0" distL="114300" distR="114300" simplePos="0" relativeHeight="251661312" behindDoc="0" locked="0" layoutInCell="1" allowOverlap="1" wp14:anchorId="5E5F1F2A" wp14:editId="345C4535">
                  <wp:simplePos x="0" y="0"/>
                  <wp:positionH relativeFrom="column">
                    <wp:posOffset>6350</wp:posOffset>
                  </wp:positionH>
                  <wp:positionV relativeFrom="paragraph">
                    <wp:posOffset>171119</wp:posOffset>
                  </wp:positionV>
                  <wp:extent cx="3295650" cy="18924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fig4.png"/>
                          <pic:cNvPicPr/>
                        </pic:nvPicPr>
                        <pic:blipFill>
                          <a:blip r:embed="rId11"/>
                          <a:stretch>
                            <a:fillRect/>
                          </a:stretch>
                        </pic:blipFill>
                        <pic:spPr>
                          <a:xfrm>
                            <a:off x="0" y="0"/>
                            <a:ext cx="3295650" cy="1892411"/>
                          </a:xfrm>
                          <a:prstGeom prst="rect">
                            <a:avLst/>
                          </a:prstGeom>
                        </pic:spPr>
                      </pic:pic>
                    </a:graphicData>
                  </a:graphic>
                  <wp14:sizeRelH relativeFrom="margin">
                    <wp14:pctWidth>0</wp14:pctWidth>
                  </wp14:sizeRelH>
                  <wp14:sizeRelV relativeFrom="margin">
                    <wp14:pctHeight>0</wp14:pctHeight>
                  </wp14:sizeRelV>
                </wp:anchor>
              </w:drawing>
            </w:r>
          </w:p>
        </w:tc>
      </w:tr>
      <w:tr w:rsidR="00A535B2" w14:paraId="74F596F0" w14:textId="77777777" w:rsidTr="00A535B2">
        <w:trPr>
          <w:jc w:val="center"/>
        </w:trPr>
        <w:tc>
          <w:tcPr>
            <w:tcW w:w="10149" w:type="dxa"/>
            <w:gridSpan w:val="2"/>
            <w:tcBorders>
              <w:top w:val="single" w:sz="8" w:space="0" w:color="D8DDD3"/>
              <w:left w:val="single" w:sz="8" w:space="0" w:color="D8DDD3"/>
              <w:bottom w:val="single" w:sz="8" w:space="0" w:color="D8DDD3"/>
              <w:right w:val="single" w:sz="8" w:space="0" w:color="D8DDD3"/>
            </w:tcBorders>
            <w:shd w:val="clear" w:color="auto" w:fill="FBFBFA"/>
          </w:tcPr>
          <w:p w14:paraId="2F855392" w14:textId="77777777" w:rsidR="00A535B2" w:rsidRDefault="00A535B2">
            <w:pPr>
              <w:spacing w:after="40"/>
              <w:rPr>
                <w:lang w:eastAsia="ja-JP"/>
              </w:rPr>
            </w:pPr>
            <w:r>
              <w:rPr>
                <w:b/>
                <w:sz w:val="24"/>
                <w:lang w:eastAsia="ja-JP"/>
              </w:rPr>
              <w:t>【参考文献】</w:t>
            </w:r>
          </w:p>
          <w:p w14:paraId="28E3E5B3" w14:textId="77777777" w:rsidR="00A535B2" w:rsidRDefault="00A535B2">
            <w:pPr>
              <w:spacing w:after="10" w:line="274" w:lineRule="auto"/>
              <w:ind w:firstLine="85"/>
              <w:rPr>
                <w:lang w:eastAsia="ja-JP"/>
              </w:rPr>
            </w:pPr>
            <w:r>
              <w:rPr>
                <w:lang w:eastAsia="ja-JP"/>
              </w:rPr>
              <w:t>1) ○○次郎ほか：根圏細菌資材がトマトの乾燥耐性に及ぼす影響，農業生物学研究，20XX.</w:t>
            </w:r>
          </w:p>
          <w:p w14:paraId="49EFDFD0" w14:textId="77777777" w:rsidR="00A535B2" w:rsidRDefault="00A535B2">
            <w:pPr>
              <w:spacing w:after="10" w:line="274" w:lineRule="auto"/>
              <w:ind w:firstLine="85"/>
              <w:rPr>
                <w:lang w:eastAsia="ja-JP"/>
              </w:rPr>
            </w:pPr>
            <w:r>
              <w:rPr>
                <w:lang w:eastAsia="ja-JP"/>
              </w:rPr>
              <w:t>2) 植物−微生物相互作用の基礎，○○出版，20XX.</w:t>
            </w:r>
          </w:p>
          <w:p w14:paraId="126A1BF6" w14:textId="77777777" w:rsidR="00A535B2" w:rsidRDefault="00A535B2">
            <w:pPr>
              <w:spacing w:after="10" w:line="274" w:lineRule="auto"/>
              <w:ind w:firstLine="85"/>
              <w:rPr>
                <w:lang w:eastAsia="ja-JP"/>
              </w:rPr>
            </w:pPr>
            <w:r>
              <w:rPr>
                <w:lang w:eastAsia="ja-JP"/>
              </w:rPr>
              <w:t>3) 施設栽培における水利用効率評価法，○○学会誌，20XX.</w:t>
            </w:r>
          </w:p>
        </w:tc>
      </w:tr>
    </w:tbl>
    <w:p w14:paraId="45718152" w14:textId="77777777" w:rsidR="00281CE7" w:rsidRDefault="00281CE7">
      <w:pPr>
        <w:rPr>
          <w:lang w:eastAsia="ja-JP"/>
        </w:rPr>
      </w:pPr>
    </w:p>
    <w:sectPr w:rsidR="00281CE7" w:rsidSect="00A535B2">
      <w:headerReference w:type="default" r:id="rId12"/>
      <w:footerReference w:type="default" r:id="rId13"/>
      <w:pgSz w:w="11906" w:h="16838" w:code="9"/>
      <w:pgMar w:top="1418" w:right="851" w:bottom="1418" w:left="851" w:header="822" w:footer="2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8F8AB" w14:textId="77777777" w:rsidR="0081305F" w:rsidRDefault="0081305F">
      <w:pPr>
        <w:spacing w:after="0" w:line="240" w:lineRule="auto"/>
      </w:pPr>
      <w:r>
        <w:separator/>
      </w:r>
    </w:p>
  </w:endnote>
  <w:endnote w:type="continuationSeparator" w:id="0">
    <w:p w14:paraId="7AB4C1DC" w14:textId="77777777" w:rsidR="0081305F" w:rsidRDefault="00813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F3420" w14:textId="77777777" w:rsidR="001C4979" w:rsidRDefault="00000000">
    <w:pPr>
      <w:pStyle w:val="a7"/>
      <w:jc w:val="right"/>
    </w:pPr>
    <w:r>
      <w:rPr>
        <w:sz w:val="18"/>
      </w:rPr>
      <w:fldChar w:fldCharType="begin"/>
    </w:r>
    <w:r>
      <w:rPr>
        <w:sz w:val="18"/>
      </w:rPr>
      <w:instrText xml:space="preserve"> PAGE </w:instrText>
    </w:r>
    <w:r>
      <w:rPr>
        <w:sz w:val="18"/>
      </w:rPr>
      <w:fldChar w:fldCharType="separate"/>
    </w:r>
    <w:r w:rsidR="00A535B2">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C2E63" w14:textId="77777777" w:rsidR="0081305F" w:rsidRDefault="0081305F">
      <w:pPr>
        <w:spacing w:after="0" w:line="240" w:lineRule="auto"/>
      </w:pPr>
      <w:r>
        <w:separator/>
      </w:r>
    </w:p>
  </w:footnote>
  <w:footnote w:type="continuationSeparator" w:id="0">
    <w:p w14:paraId="7CCCF4D5" w14:textId="77777777" w:rsidR="0081305F" w:rsidRDefault="00813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9C95F" w14:textId="77777777" w:rsidR="001C4979" w:rsidRDefault="00000000">
    <w:pPr>
      <w:pStyle w:val="a5"/>
      <w:jc w:val="right"/>
      <w:rPr>
        <w:lang w:eastAsia="ja-JP"/>
      </w:rPr>
    </w:pPr>
    <w:r>
      <w:rPr>
        <w:sz w:val="17"/>
        <w:lang w:eastAsia="ja-JP"/>
      </w:rPr>
      <w:t>○○ 次郎 ・ ○○大学大学院 農学生命科学研究科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490485520">
    <w:abstractNumId w:val="8"/>
  </w:num>
  <w:num w:numId="2" w16cid:durableId="171842194">
    <w:abstractNumId w:val="6"/>
  </w:num>
  <w:num w:numId="3" w16cid:durableId="320933499">
    <w:abstractNumId w:val="5"/>
  </w:num>
  <w:num w:numId="4" w16cid:durableId="1809517262">
    <w:abstractNumId w:val="4"/>
  </w:num>
  <w:num w:numId="5" w16cid:durableId="231700728">
    <w:abstractNumId w:val="7"/>
  </w:num>
  <w:num w:numId="6" w16cid:durableId="802575938">
    <w:abstractNumId w:val="3"/>
  </w:num>
  <w:num w:numId="7" w16cid:durableId="346251234">
    <w:abstractNumId w:val="2"/>
  </w:num>
  <w:num w:numId="8" w16cid:durableId="839002504">
    <w:abstractNumId w:val="1"/>
  </w:num>
  <w:num w:numId="9" w16cid:durableId="2132556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C4979"/>
    <w:rsid w:val="002528FF"/>
    <w:rsid w:val="00281CE7"/>
    <w:rsid w:val="00295CC6"/>
    <w:rsid w:val="0029639D"/>
    <w:rsid w:val="00326F90"/>
    <w:rsid w:val="00466DCB"/>
    <w:rsid w:val="0081305F"/>
    <w:rsid w:val="008A3066"/>
    <w:rsid w:val="00A535B2"/>
    <w:rsid w:val="00AA1D8D"/>
    <w:rsid w:val="00B47730"/>
    <w:rsid w:val="00CB0664"/>
    <w:rsid w:val="00CC77F4"/>
    <w:rsid w:val="00D4238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1A9C5FCB"/>
  <w14:defaultImageDpi w14:val="300"/>
  <w15:docId w15:val="{0C1E2627-F5D7-44D6-A1A3-7BEC743A7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Yu Gothic" w:eastAsia="Yu Gothic" w:hAnsi="Yu Gothic"/>
      <w:sz w:val="20"/>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196</Words>
  <Characters>1119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剛志 境</cp:lastModifiedBy>
  <cp:revision>4</cp:revision>
  <dcterms:created xsi:type="dcterms:W3CDTF">2026-07-02T09:35:00Z</dcterms:created>
  <dcterms:modified xsi:type="dcterms:W3CDTF">2026-07-03T03:00:00Z</dcterms:modified>
  <cp:category/>
</cp:coreProperties>
</file>